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75" w:rsidRPr="00793775" w:rsidRDefault="00793775" w:rsidP="0079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93775" w:rsidRPr="00793775" w:rsidRDefault="00793775" w:rsidP="0079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93775" w:rsidRPr="00793775" w:rsidTr="004166A6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775" w:rsidRPr="00793775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394248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0912-7LEK-C5.11-LL</w:t>
            </w:r>
          </w:p>
        </w:tc>
      </w:tr>
      <w:tr w:rsidR="00793775" w:rsidRPr="00793775" w:rsidTr="004166A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793775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3942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394248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Diagnostyka</w:t>
            </w:r>
            <w:proofErr w:type="spellEnd"/>
            <w:r w:rsidRPr="00394248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 </w:t>
            </w:r>
            <w:proofErr w:type="spellStart"/>
            <w:r w:rsidRPr="00394248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laboratoryjna</w:t>
            </w:r>
            <w:proofErr w:type="spellEnd"/>
          </w:p>
        </w:tc>
      </w:tr>
      <w:tr w:rsidR="00793775" w:rsidRPr="00793775" w:rsidTr="004166A6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394248">
            <w:pPr>
              <w:tabs>
                <w:tab w:val="left" w:pos="24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39424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Laboratory</w:t>
            </w:r>
            <w:proofErr w:type="spellEnd"/>
            <w:r w:rsidRPr="00394248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diagnostics</w:t>
            </w:r>
          </w:p>
        </w:tc>
      </w:tr>
    </w:tbl>
    <w:p w:rsidR="00793775" w:rsidRP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93775" w:rsidRPr="00793775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793775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793775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793775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793775" w:rsidRPr="00793775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942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793775" w:rsidRPr="00793775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942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793775" w:rsidRPr="00793775" w:rsidTr="004166A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942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793775" w:rsidRPr="00793775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9424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793775" w:rsidRPr="00FD7DFE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793775"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2A0B25" w:rsidRDefault="00394248" w:rsidP="00394248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Dr. n. med. Urszula Grabowska</w:t>
            </w:r>
            <w:r w:rsidR="00873A79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, mgr Agnieszka Piechowska</w:t>
            </w:r>
          </w:p>
        </w:tc>
      </w:tr>
      <w:tr w:rsidR="00793775" w:rsidRPr="00793775" w:rsidTr="004166A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793775"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815E1E" w:rsidRDefault="00815E1E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en-GB" w:eastAsia="ar-SA"/>
              </w:rPr>
            </w:pPr>
            <w:r w:rsidRPr="00596BE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apiechowska@ujk.edu.pl</w:t>
            </w:r>
          </w:p>
        </w:tc>
      </w:tr>
    </w:tbl>
    <w:p w:rsidR="00793775" w:rsidRP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793775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793775" w:rsidRPr="00793775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793775"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394248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English</w:t>
            </w:r>
          </w:p>
        </w:tc>
      </w:tr>
      <w:tr w:rsidR="00793775" w:rsidRPr="00793775" w:rsidTr="004166A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4E1827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793775"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Biology, biochemistry, physiology</w:t>
            </w:r>
          </w:p>
        </w:tc>
      </w:tr>
    </w:tbl>
    <w:p w:rsidR="00793775" w:rsidRP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793775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93775" w:rsidRPr="00793775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Lectur</w:t>
            </w:r>
            <w:proofErr w:type="spellEnd"/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e - 15 h,  </w:t>
            </w:r>
            <w:proofErr w:type="spellStart"/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– 40 h</w:t>
            </w:r>
          </w:p>
        </w:tc>
      </w:tr>
      <w:tr w:rsidR="00793775" w:rsidRPr="00793775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760674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 and classes in the teaching rooms of UJK</w:t>
            </w:r>
          </w:p>
        </w:tc>
      </w:tr>
      <w:tr w:rsidR="00793775" w:rsidRPr="00793775" w:rsidTr="004166A6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793775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E, Classes – Zo (credit with grade)</w:t>
            </w:r>
          </w:p>
        </w:tc>
      </w:tr>
      <w:tr w:rsidR="00793775" w:rsidRPr="00793775" w:rsidTr="004166A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760674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 with the usage of multimedia techniques.</w:t>
            </w:r>
          </w:p>
          <w:p w:rsidR="00793775" w:rsidRPr="00793775" w:rsidRDefault="00760674" w:rsidP="0076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 using activation techniques.</w:t>
            </w:r>
          </w:p>
        </w:tc>
      </w:tr>
      <w:tr w:rsidR="00793775" w:rsidRPr="00793775" w:rsidTr="004166A6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74" w:rsidRPr="00596BE1" w:rsidRDefault="00760674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Gaw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A., Murphy M. J., Rajeev S. &amp;2 more,  Clinical Biochemistry, ELSEVIER, 2013</w:t>
            </w:r>
          </w:p>
          <w:p w:rsidR="009A1EA7" w:rsidRPr="00596BE1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Marshall W., Day A., </w:t>
            </w: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Lapsley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M., Clinical Chemistry, ELSEVIER, 2017</w:t>
            </w:r>
          </w:p>
          <w:p w:rsidR="00793775" w:rsidRPr="00596BE1" w:rsidRDefault="009A1EA7" w:rsidP="009A1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Howard M., Hamilton P., </w:t>
            </w: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Haematology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, ELSEVIER, 2013</w:t>
            </w:r>
          </w:p>
        </w:tc>
      </w:tr>
      <w:tr w:rsidR="00793775" w:rsidRPr="00793775" w:rsidTr="004166A6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75" w:rsidRPr="00793775" w:rsidRDefault="00793775" w:rsidP="00793775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75" w:rsidRPr="00596BE1" w:rsidRDefault="00760674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Becket G., Walker S. W., Rae P. &amp;1 more,  Clinical Biochemistry,  Blackwell Publishing Ltd.., 2005</w:t>
            </w:r>
          </w:p>
          <w:p w:rsidR="009A1EA7" w:rsidRPr="00596BE1" w:rsidRDefault="009A1EA7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Provan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D., </w:t>
            </w: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Baglin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T., Oxford Handbook of Clinical </w:t>
            </w:r>
            <w:proofErr w:type="spellStart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Haematology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,  Oxford University Press, 2015</w:t>
            </w:r>
          </w:p>
          <w:p w:rsidR="00873A79" w:rsidRPr="00596BE1" w:rsidRDefault="00873A79" w:rsidP="00873A79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proofErr w:type="spellStart"/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Brunzel</w:t>
            </w:r>
            <w:proofErr w:type="spellEnd"/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N.A., Fundamentals of Urine &amp; Body Fluids Analysis, ELSEVIER (Saunders), 2016</w:t>
            </w:r>
          </w:p>
        </w:tc>
      </w:tr>
    </w:tbl>
    <w:p w:rsidR="00793775" w:rsidRP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93775" w:rsidRPr="00793775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793775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93775" w:rsidRPr="00793775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305D54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05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305D54" w:rsidRPr="00305D5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305D54" w:rsidRPr="001641ED" w:rsidRDefault="00305D54" w:rsidP="00305D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GB" w:eastAsia="ar-SA"/>
              </w:rPr>
              <w:t xml:space="preserve">       </w:t>
            </w:r>
            <w:r w:rsidRPr="002A0B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>For both forms of classes:</w:t>
            </w:r>
          </w:p>
          <w:p w:rsidR="00760674" w:rsidRPr="00760674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acquaintance with analytical methods as a diagnostic tool,</w:t>
            </w:r>
          </w:p>
          <w:p w:rsidR="00760674" w:rsidRPr="00760674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presentation of the principles of the proper collection of biological material for laboratory research, </w:t>
            </w:r>
          </w:p>
          <w:p w:rsidR="00760674" w:rsidRPr="00760674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gaining the ability to interpret the results of laboratory research, </w:t>
            </w:r>
          </w:p>
          <w:p w:rsidR="00793775" w:rsidRPr="00793775" w:rsidRDefault="00760674" w:rsidP="0076067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606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familiarity with the rules of a doctor cooperation with the laboratory.</w:t>
            </w:r>
            <w:r w:rsidRPr="007606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793775" w:rsidRPr="00793775" w:rsidTr="004166A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775" w:rsidRPr="00305D54" w:rsidRDefault="00793775" w:rsidP="00793775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05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305D5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760674" w:rsidRPr="005E6967" w:rsidRDefault="00760674" w:rsidP="007606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Lecture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rules of functioning of diagnostic laboratory.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 research as a tool in the diagnosis of diseases.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 in the scope of medical analytics.</w:t>
            </w:r>
          </w:p>
          <w:p w:rsidR="00760674" w:rsidRPr="002A0B25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Water-</w:t>
            </w: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electrolyte and acid-base balance disorders.</w:t>
            </w:r>
            <w:bookmarkStart w:id="0" w:name="_GoBack"/>
            <w:bookmarkEnd w:id="0"/>
          </w:p>
          <w:p w:rsidR="00760674" w:rsidRPr="002A0B25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diagnostics</w:t>
            </w:r>
            <w:r w:rsidR="00760674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mineral metabolism disorder.</w:t>
            </w:r>
          </w:p>
          <w:p w:rsidR="00760674" w:rsidRPr="002A0B25" w:rsidRDefault="005F0CC8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The diagnostics</w:t>
            </w:r>
            <w:r w:rsidR="00760674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disorders of white and red blood cell system.</w:t>
            </w:r>
          </w:p>
          <w:p w:rsidR="00760674" w:rsidRPr="002A0B25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</w:t>
            </w:r>
            <w:r w:rsidR="005F0CC8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boratory research in a diagnostics</w:t>
            </w: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kidney diseases.</w:t>
            </w:r>
          </w:p>
          <w:p w:rsidR="00760674" w:rsidRPr="002A0B25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diagnostics of endocrine disorders.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diagnostics of digestive system diseases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Tumor markers and their diagnostic usefulness.</w:t>
            </w:r>
          </w:p>
          <w:p w:rsidR="00760674" w:rsidRPr="005E6967" w:rsidRDefault="00760674" w:rsidP="00760674">
            <w:pPr>
              <w:numPr>
                <w:ilvl w:val="0"/>
                <w:numId w:val="5"/>
              </w:num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Immunodiagnostics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760674" w:rsidRPr="005E6967" w:rsidRDefault="00760674" w:rsidP="00FD7DFE">
            <w:pPr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Classes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760674" w:rsidRPr="005E6967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factors affecting the reliability of the result of laboratory research.</w:t>
            </w:r>
          </w:p>
          <w:p w:rsidR="00760674" w:rsidRPr="005E6967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Collecting biological material for laboratory test.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The methods </w:t>
            </w: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used in laboratory diagnostics.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Laboratory diagnostics of metabolic disorders.</w:t>
            </w:r>
            <w:r w:rsid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Obesity. 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Disorders of </w:t>
            </w: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exo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and endocrine functions of the pancreas. </w:t>
            </w: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Diabetes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. 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research in the assessment of lipid metabolism.</w:t>
            </w:r>
          </w:p>
          <w:p w:rsidR="00760674" w:rsidRPr="002A0B25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diagnostics</w:t>
            </w:r>
            <w:r w:rsidR="00760674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hemostasis disorders.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</w:t>
            </w:r>
            <w:r w:rsidR="005F0CC8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boratory diagnostics</w:t>
            </w: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haematological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malignancies.</w:t>
            </w:r>
          </w:p>
          <w:p w:rsidR="00760674" w:rsidRPr="002A0B25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Laboratory test in a diagnostics</w:t>
            </w:r>
            <w:r w:rsidR="00760674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 inflammatory conditions. Acute phase proteins.</w:t>
            </w:r>
          </w:p>
          <w:p w:rsidR="00760674" w:rsidRPr="002A0B25" w:rsidRDefault="00760674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enzymology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</w:t>
            </w:r>
          </w:p>
          <w:p w:rsidR="00760674" w:rsidRPr="002A0B25" w:rsidRDefault="005F0CC8" w:rsidP="00760674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Serological</w:t>
            </w:r>
            <w:proofErr w:type="spellEnd"/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diagnostics</w:t>
            </w:r>
            <w:r w:rsidR="00760674"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</w:t>
            </w:r>
          </w:p>
          <w:p w:rsidR="002A0B25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Cooperation between a doctor and medical laboratory. </w:t>
            </w:r>
          </w:p>
          <w:p w:rsidR="00793775" w:rsidRPr="002A0B25" w:rsidRDefault="00760674" w:rsidP="002A0B25">
            <w:pPr>
              <w:numPr>
                <w:ilvl w:val="0"/>
                <w:numId w:val="4"/>
              </w:num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Interpretation of the laboratory test results in various clinical conditions.</w:t>
            </w:r>
          </w:p>
        </w:tc>
      </w:tr>
    </w:tbl>
    <w:p w:rsidR="00793775" w:rsidRDefault="001B2BB5" w:rsidP="001B2BB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ab/>
      </w:r>
    </w:p>
    <w:p w:rsidR="001B2BB5" w:rsidRPr="001B2BB5" w:rsidRDefault="001B2BB5" w:rsidP="001B2BB5">
      <w:pPr>
        <w:pStyle w:val="Akapitzlist"/>
        <w:numPr>
          <w:ilvl w:val="1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E696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Education outcomes in the discipline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4E1827" w:rsidRPr="00E052A5" w:rsidTr="009A1EA7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827" w:rsidRPr="00E052A5" w:rsidRDefault="004E1827" w:rsidP="009A1EA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052A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E052A5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052A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7" w:rsidRPr="00E052A5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E052A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4E1827" w:rsidRPr="00E052A5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E052A5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E052A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E052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E75A80" w:rsidRPr="00E75A8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,</w:t>
            </w:r>
            <w:r w:rsidRPr="00E75A8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 xml:space="preserve"> </w:t>
            </w:r>
            <w:r w:rsidRPr="00D847DD">
              <w:rPr>
                <w:rFonts w:ascii="Calibri" w:eastAsia="Calibri" w:hAnsi="Calibri" w:cs="Times New Roman"/>
              </w:rPr>
              <w:t xml:space="preserve"> </w:t>
            </w:r>
            <w:r w:rsidRPr="008628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the graduate knows and understands: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C.W19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basic principles of diagnostic poisoning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C.W4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E.W1.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types of biological materials used in laboratory diagnosis and the rules for the collection of research material;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E.W39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810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theoretical and practical foundations for laboratory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40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the capabilities and limitations of laboratory tests in emergency situations;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E.W41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indications for the implementation of monitoring therapy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E.W42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E052A5" w:rsidRDefault="004E1827" w:rsidP="009A1E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E052A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E052A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E75A80" w:rsidRPr="00E75A8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</w:t>
            </w:r>
            <w:r w:rsidRPr="00E75A8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50008B">
              <w:rPr>
                <w:rFonts w:ascii="Calibri" w:eastAsia="Calibri" w:hAnsi="Calibri" w:cs="Times New Roman"/>
              </w:rPr>
              <w:t xml:space="preserve"> </w:t>
            </w:r>
            <w:r w:rsidRPr="0086281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 graduate knows how to: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C1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810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apply basic </w:t>
            </w:r>
            <w:r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 techniques, such as</w:t>
            </w: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qualitative analysis, titration, colorimetry, </w:t>
            </w:r>
            <w:proofErr w:type="spellStart"/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pehametry</w:t>
            </w:r>
            <w:proofErr w:type="spellEnd"/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chromatography, electrophoresis of proteins and nucleic acids;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B.U8</w:t>
            </w: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plans diagnostic, therapeutic and preventive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A469AF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9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E.U16.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interpret laborat</w:t>
            </w:r>
            <w:r w:rsidR="00CF178B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ory test </w:t>
            </w:r>
            <w:r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results and identify</w:t>
            </w: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reasons for deviations</w:t>
            </w:r>
            <w:r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E.U24.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C1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C14F64" w:rsidRDefault="004E1827" w:rsidP="009A1E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collect</w:t>
            </w: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 secure </w:t>
            </w:r>
            <w:r w:rsidRPr="00C14F64">
              <w:rPr>
                <w:rStyle w:val="gt-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samples of material used in laboratory diagnostics;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E.U28.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596BE1" w:rsidP="009A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</w:t>
            </w:r>
            <w:r w:rsidR="00A67C4F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ompl</w:t>
            </w:r>
            <w:r w:rsidRPr="00596BE1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E1827"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5E6967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F.U3.</w:t>
            </w:r>
          </w:p>
        </w:tc>
      </w:tr>
      <w:tr w:rsidR="004E1827" w:rsidRPr="00E052A5" w:rsidTr="009A1EA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2A0B25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2A0B25" w:rsidRDefault="004E1827" w:rsidP="009A1E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</w:t>
            </w:r>
            <w:r w:rsidRPr="002A0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antigen-antibody reaction in current modifications and techniques for the diagnosis of infectious diseases, allergies, autoimmune diseases, blood diseases and cancer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27" w:rsidRPr="002A0B25" w:rsidRDefault="004E1827" w:rsidP="009A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A0B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C.U8</w:t>
            </w:r>
          </w:p>
        </w:tc>
      </w:tr>
    </w:tbl>
    <w:p w:rsidR="00596BE1" w:rsidRDefault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596BE1" w:rsidRPr="00596BE1" w:rsidRDefault="00596BE1" w:rsidP="00596BE1">
      <w:pPr>
        <w:rPr>
          <w:sz w:val="20"/>
          <w:szCs w:val="20"/>
        </w:rPr>
      </w:pPr>
    </w:p>
    <w:p w:rsidR="009E4D86" w:rsidRPr="00596BE1" w:rsidRDefault="00596BE1" w:rsidP="00596B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1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3"/>
      </w:tblGrid>
      <w:tr w:rsidR="009E4D86" w:rsidRPr="00793775" w:rsidTr="00596B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B817DF" w:rsidRDefault="009E4D86" w:rsidP="009E4D86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Methods of assessment of the intended teaching outcomes</w:t>
            </w: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B817D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oral</w:t>
            </w: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Project</w:t>
            </w: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 xml:space="preserve">Effort </w:t>
            </w:r>
          </w:p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in class</w:t>
            </w:r>
            <w:r w:rsidRPr="00B817DF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Self-study</w:t>
            </w: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Group work</w:t>
            </w: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*       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trike/>
                <w:sz w:val="16"/>
                <w:szCs w:val="16"/>
                <w:lang w:val="en-GB" w:eastAsia="pl-PL"/>
              </w:rPr>
              <w:t>Others</w:t>
            </w:r>
            <w:r w:rsidRPr="00B817D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86" w:rsidRPr="00B817D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6" w:rsidRPr="00B817DF" w:rsidRDefault="009E4D86" w:rsidP="009E4D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584DF5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9E4D8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B817DF" w:rsidRDefault="00584DF5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D86" w:rsidRPr="00D15106" w:rsidRDefault="009E4D8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584D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W07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D15106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D15106" w:rsidRDefault="004166A6" w:rsidP="009E4D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2A0B25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4166A6"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U04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66A6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B817DF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6A6" w:rsidRPr="00B817DF" w:rsidRDefault="004166A6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D6AA9" w:rsidRPr="00793775" w:rsidTr="00596BE1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2A0B25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2A0B25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AA9" w:rsidRPr="002A0B25" w:rsidRDefault="001D6AA9" w:rsidP="004166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793775" w:rsidRDefault="00B817DF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663439" w:rsidRPr="001D6AA9" w:rsidRDefault="00663439" w:rsidP="007937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93775" w:rsidRPr="00793775" w:rsidTr="004166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937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793775" w:rsidRPr="00793775" w:rsidTr="004166A6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793775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937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75" w:rsidRPr="00793775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937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75" w:rsidRPr="00793775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937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45B1A" w:rsidRPr="00793775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B817DF" w:rsidRDefault="00793775" w:rsidP="0079377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596BE1" w:rsidRDefault="009E4D86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Class attendance and active participation. Mastering course content at the primary level. Inability to combine different groups of issues in logical sequences.</w:t>
            </w:r>
            <w:r w:rsidR="002032F8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Exam for given grade 61%-68%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596BE1" w:rsidRDefault="009E4D86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Class attendance, active participation. Presenting the knowledge after being directed.</w:t>
            </w:r>
            <w:r w:rsidR="002032F8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Exam for  given grade 69%-76%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596BE1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Class attendance, active participation. Mastering course content at the satisfactory level, presenting the knowledge moderately independently. Ability to use it in typical situations. </w:t>
            </w:r>
            <w:r w:rsidR="002032F8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Exam for  given grade 77%-84%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596BE1" w:rsidRDefault="009E4D86" w:rsidP="0079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Class attendance, active participation. Mastering the full range of course content, presenting independent responses based on the knowledge. Ability to analyze and critically interpret the information.</w:t>
            </w:r>
            <w:r w:rsidR="002032F8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Exam for  given grade 85%-92%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596BE1" w:rsidRDefault="00972E75" w:rsidP="009E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93%-100% </w:t>
            </w:r>
            <w:r w:rsidR="009E4D86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Class attendance, active participation. Mastering the full range of course content, presenting independent responses based on the knowledge. Ability to analyze and critically interpret the information. </w:t>
            </w:r>
            <w:r w:rsidR="002032F8" w:rsidRPr="00596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Exam for  given grade 93%-100%</w:t>
            </w:r>
          </w:p>
        </w:tc>
      </w:tr>
      <w:tr w:rsidR="00245B1A" w:rsidRPr="00793775" w:rsidTr="004166A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775" w:rsidRPr="00B817DF" w:rsidRDefault="00793775" w:rsidP="0079377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B817DF" w:rsidRDefault="00972E75" w:rsidP="009E4D86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61%- 68%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B817D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69%-76%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B817D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77%-84%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B817D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85%-92%</w:t>
            </w:r>
          </w:p>
        </w:tc>
      </w:tr>
      <w:tr w:rsidR="00245B1A" w:rsidRPr="00793775" w:rsidTr="004166A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793775" w:rsidRDefault="007937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5" w:rsidRPr="00B817DF" w:rsidRDefault="00793775" w:rsidP="007937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817D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75" w:rsidRPr="00B817DF" w:rsidRDefault="00972E75" w:rsidP="007937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93%-100%</w:t>
            </w:r>
          </w:p>
        </w:tc>
      </w:tr>
    </w:tbl>
    <w:p w:rsid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144D83" w:rsidRPr="00A67C4F" w:rsidRDefault="005A3207" w:rsidP="00A67C4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8" w:tooltip="&quot;thresholds&quot; po polsku" w:history="1">
        <w:r w:rsidR="00144D83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144D83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596BE1" w:rsidRDefault="00596BE1">
      <w:pPr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  <w:br w:type="page"/>
      </w:r>
    </w:p>
    <w:p w:rsidR="00144D83" w:rsidRPr="001D6AA9" w:rsidRDefault="00144D83" w:rsidP="00793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</w:p>
    <w:p w:rsidR="00793775" w:rsidRPr="00793775" w:rsidRDefault="00793775" w:rsidP="007937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793775" w:rsidRPr="00793775" w:rsidTr="004166A6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775" w:rsidRPr="00793775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75" w:rsidRPr="00793775" w:rsidRDefault="00793775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245B1A" w:rsidRPr="00793775" w:rsidTr="004166A6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45B1A" w:rsidRPr="00793775" w:rsidRDefault="00245B1A" w:rsidP="007937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793775" w:rsidRDefault="00245B1A" w:rsidP="00245B1A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45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35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F60B7D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793775" w:rsidRDefault="00245B1A" w:rsidP="00245B1A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245B1A" w:rsidRPr="00793775" w:rsidTr="004166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B1A" w:rsidRPr="00793775" w:rsidRDefault="00245B1A" w:rsidP="007937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79377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5B1A" w:rsidRPr="00793775" w:rsidRDefault="00245B1A" w:rsidP="0024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793775" w:rsidRPr="00793775" w:rsidRDefault="00793775" w:rsidP="00793775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93775" w:rsidRPr="00793775" w:rsidRDefault="00793775" w:rsidP="0079377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93775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793775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93775" w:rsidRPr="00793775" w:rsidRDefault="001D6AA9" w:rsidP="00793775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</w:t>
      </w:r>
      <w:r w:rsidR="00793775" w:rsidRPr="00793775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</w:t>
      </w:r>
    </w:p>
    <w:p w:rsidR="00116F32" w:rsidRPr="001D6AA9" w:rsidRDefault="001D6AA9" w:rsidP="001D6AA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</w:t>
      </w:r>
      <w:r w:rsidR="00793775" w:rsidRPr="00793775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</w:t>
      </w:r>
    </w:p>
    <w:sectPr w:rsidR="00116F32" w:rsidRPr="001D6AA9" w:rsidSect="004166A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07" w:rsidRDefault="005A3207" w:rsidP="0092748B">
      <w:pPr>
        <w:spacing w:after="0" w:line="240" w:lineRule="auto"/>
      </w:pPr>
      <w:r>
        <w:separator/>
      </w:r>
    </w:p>
  </w:endnote>
  <w:endnote w:type="continuationSeparator" w:id="0">
    <w:p w:rsidR="005A3207" w:rsidRDefault="005A3207" w:rsidP="009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07" w:rsidRDefault="005A3207" w:rsidP="0092748B">
      <w:pPr>
        <w:spacing w:after="0" w:line="240" w:lineRule="auto"/>
      </w:pPr>
      <w:r>
        <w:separator/>
      </w:r>
    </w:p>
  </w:footnote>
  <w:footnote w:type="continuationSeparator" w:id="0">
    <w:p w:rsidR="005A3207" w:rsidRDefault="005A3207" w:rsidP="0092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E" w:rsidRPr="00EE2575" w:rsidRDefault="00815E1E" w:rsidP="004166A6">
    <w:pPr>
      <w:jc w:val="right"/>
      <w:rPr>
        <w:b/>
        <w:sz w:val="16"/>
        <w:szCs w:val="16"/>
        <w:lang w:val="en-GB"/>
      </w:rPr>
    </w:pPr>
  </w:p>
  <w:p w:rsidR="00815E1E" w:rsidRDefault="00815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CAA5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97B5E64"/>
    <w:multiLevelType w:val="hybridMultilevel"/>
    <w:tmpl w:val="75F4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1BE"/>
    <w:multiLevelType w:val="hybridMultilevel"/>
    <w:tmpl w:val="79B0E8DE"/>
    <w:lvl w:ilvl="0" w:tplc="0E2604A8">
      <w:start w:val="1"/>
      <w:numFmt w:val="decimal"/>
      <w:lvlText w:val="%1."/>
      <w:lvlJc w:val="left"/>
      <w:pPr>
        <w:ind w:left="1211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E49"/>
    <w:multiLevelType w:val="hybridMultilevel"/>
    <w:tmpl w:val="BF16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1CEC"/>
    <w:multiLevelType w:val="hybridMultilevel"/>
    <w:tmpl w:val="3770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75"/>
    <w:rsid w:val="00090AB1"/>
    <w:rsid w:val="000C738E"/>
    <w:rsid w:val="00103064"/>
    <w:rsid w:val="00116F32"/>
    <w:rsid w:val="001267B7"/>
    <w:rsid w:val="00144D83"/>
    <w:rsid w:val="00145F14"/>
    <w:rsid w:val="001641ED"/>
    <w:rsid w:val="001B2BB5"/>
    <w:rsid w:val="001D6AA9"/>
    <w:rsid w:val="001F602D"/>
    <w:rsid w:val="002032F8"/>
    <w:rsid w:val="00245B1A"/>
    <w:rsid w:val="00293422"/>
    <w:rsid w:val="002A0B25"/>
    <w:rsid w:val="00305D54"/>
    <w:rsid w:val="00394248"/>
    <w:rsid w:val="004166A6"/>
    <w:rsid w:val="00464195"/>
    <w:rsid w:val="004E1827"/>
    <w:rsid w:val="004F3182"/>
    <w:rsid w:val="00584DF5"/>
    <w:rsid w:val="00596BE1"/>
    <w:rsid w:val="005A3207"/>
    <w:rsid w:val="005F0CC8"/>
    <w:rsid w:val="0063406A"/>
    <w:rsid w:val="00663439"/>
    <w:rsid w:val="00760674"/>
    <w:rsid w:val="00785E45"/>
    <w:rsid w:val="00793775"/>
    <w:rsid w:val="007C38C4"/>
    <w:rsid w:val="00815E1E"/>
    <w:rsid w:val="00873A79"/>
    <w:rsid w:val="0092748B"/>
    <w:rsid w:val="00955B62"/>
    <w:rsid w:val="00972E75"/>
    <w:rsid w:val="009A1EA7"/>
    <w:rsid w:val="009E4D86"/>
    <w:rsid w:val="009E7935"/>
    <w:rsid w:val="00A469AF"/>
    <w:rsid w:val="00A67C4F"/>
    <w:rsid w:val="00AD0692"/>
    <w:rsid w:val="00B817DF"/>
    <w:rsid w:val="00C14F64"/>
    <w:rsid w:val="00C26A56"/>
    <w:rsid w:val="00C333CE"/>
    <w:rsid w:val="00C53E8A"/>
    <w:rsid w:val="00CF178B"/>
    <w:rsid w:val="00D15106"/>
    <w:rsid w:val="00DC376A"/>
    <w:rsid w:val="00E24EDE"/>
    <w:rsid w:val="00E75A80"/>
    <w:rsid w:val="00F56BB5"/>
    <w:rsid w:val="00F60B7D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A903C8-5E2B-4199-953D-A76E183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7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775"/>
  </w:style>
  <w:style w:type="character" w:customStyle="1" w:styleId="gt-text">
    <w:name w:val="gt-text"/>
    <w:basedOn w:val="Domylnaczcionkaakapitu"/>
    <w:rsid w:val="009E4D86"/>
  </w:style>
  <w:style w:type="paragraph" w:styleId="Akapitzlist">
    <w:name w:val="List Paragraph"/>
    <w:basedOn w:val="Normalny"/>
    <w:uiPriority w:val="34"/>
    <w:qFormat/>
    <w:rsid w:val="001B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18E7-8D4E-4A5D-90A1-038C4125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Widak</dc:creator>
  <cp:lastModifiedBy>Aneta Widak</cp:lastModifiedBy>
  <cp:revision>3</cp:revision>
  <dcterms:created xsi:type="dcterms:W3CDTF">2019-11-27T11:55:00Z</dcterms:created>
  <dcterms:modified xsi:type="dcterms:W3CDTF">2019-12-06T11:16:00Z</dcterms:modified>
</cp:coreProperties>
</file>